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E20DF" w14:textId="07C3666F" w:rsidR="006A7398" w:rsidRDefault="00EC6976" w:rsidP="00EC6976">
      <w:pPr>
        <w:jc w:val="center"/>
        <w:rPr>
          <w:b/>
        </w:rPr>
      </w:pPr>
      <w:r>
        <w:rPr>
          <w:b/>
        </w:rPr>
        <w:t xml:space="preserve">IN THE </w:t>
      </w:r>
      <w:r w:rsidR="00BF4DDE">
        <w:rPr>
          <w:b/>
        </w:rPr>
        <w:t>CIRCUIT</w:t>
      </w:r>
      <w:r>
        <w:rPr>
          <w:b/>
        </w:rPr>
        <w:t xml:space="preserve"> COURT OF THE SIXTH JUDICIAL CIRCUIT</w:t>
      </w:r>
    </w:p>
    <w:p w14:paraId="118FCEC0" w14:textId="77777777" w:rsidR="00EC6976" w:rsidRDefault="00EC6976" w:rsidP="00EC6976">
      <w:pPr>
        <w:jc w:val="center"/>
        <w:rPr>
          <w:b/>
        </w:rPr>
      </w:pPr>
      <w:r>
        <w:rPr>
          <w:b/>
        </w:rPr>
        <w:t>IN AND FOR PASCO COUNTY, FLORIDA</w:t>
      </w:r>
    </w:p>
    <w:p w14:paraId="54FB5704" w14:textId="0BBE0A57" w:rsidR="00EC6976" w:rsidRDefault="00BF4DDE" w:rsidP="00EC6976">
      <w:pPr>
        <w:jc w:val="center"/>
        <w:rPr>
          <w:b/>
        </w:rPr>
      </w:pPr>
      <w:r>
        <w:rPr>
          <w:b/>
          <w:u w:val="single"/>
        </w:rPr>
        <w:t>FAMILY LAW</w:t>
      </w:r>
      <w:r w:rsidR="00EC6976">
        <w:rPr>
          <w:b/>
          <w:u w:val="single"/>
        </w:rPr>
        <w:t xml:space="preserve"> DIVISION</w:t>
      </w:r>
    </w:p>
    <w:p w14:paraId="4946284B" w14:textId="77777777" w:rsidR="00EC6976" w:rsidRDefault="00EC6976" w:rsidP="00EC6976">
      <w:pPr>
        <w:jc w:val="center"/>
        <w:rPr>
          <w:b/>
        </w:rPr>
      </w:pPr>
    </w:p>
    <w:p w14:paraId="433A4157" w14:textId="06AA559D" w:rsidR="00BF4DDE" w:rsidRDefault="00BF4DDE" w:rsidP="00BF4DDE">
      <w:pPr>
        <w:rPr>
          <w:b/>
        </w:rPr>
      </w:pPr>
      <w:r>
        <w:rPr>
          <w:b/>
        </w:rPr>
        <w:t>IN RE: The Matter / Marriage / Former Marriage of</w:t>
      </w:r>
    </w:p>
    <w:p w14:paraId="1669F626" w14:textId="77777777" w:rsidR="00BF4DDE" w:rsidRDefault="00BF4DDE" w:rsidP="00EC6976">
      <w:pPr>
        <w:jc w:val="center"/>
        <w:rPr>
          <w:b/>
        </w:rPr>
      </w:pPr>
    </w:p>
    <w:p w14:paraId="2384980B" w14:textId="77777777" w:rsidR="00EC6976" w:rsidRPr="00EC6976" w:rsidRDefault="00EC6976" w:rsidP="00EC6976">
      <w:pPr>
        <w:rPr>
          <w:b/>
        </w:rPr>
      </w:pPr>
      <w:r>
        <w:rPr>
          <w:b/>
          <w:u w:val="single"/>
        </w:rPr>
        <w:tab/>
      </w:r>
      <w:r>
        <w:rPr>
          <w:b/>
          <w:u w:val="single"/>
        </w:rPr>
        <w:tab/>
      </w:r>
      <w:r>
        <w:rPr>
          <w:b/>
          <w:u w:val="single"/>
        </w:rPr>
        <w:tab/>
      </w:r>
      <w:r>
        <w:rPr>
          <w:b/>
          <w:u w:val="single"/>
        </w:rPr>
        <w:tab/>
      </w:r>
      <w:r>
        <w:rPr>
          <w:b/>
        </w:rPr>
        <w:t>,</w:t>
      </w:r>
    </w:p>
    <w:p w14:paraId="30C9ACD2" w14:textId="6866CD3A" w:rsidR="00EC6976" w:rsidRPr="00EC6976" w:rsidRDefault="00EC6976" w:rsidP="00EC6976">
      <w:pPr>
        <w:rPr>
          <w:b/>
        </w:rPr>
      </w:pPr>
      <w:r>
        <w:rPr>
          <w:b/>
        </w:rPr>
        <w:tab/>
      </w:r>
      <w:r w:rsidR="00BF4DDE">
        <w:rPr>
          <w:b/>
        </w:rPr>
        <w:t>Petitioner</w:t>
      </w:r>
      <w:r>
        <w:rPr>
          <w:b/>
        </w:rPr>
        <w:t>,</w:t>
      </w:r>
      <w:r>
        <w:rPr>
          <w:b/>
        </w:rPr>
        <w:tab/>
      </w:r>
      <w:r>
        <w:rPr>
          <w:b/>
        </w:rPr>
        <w:tab/>
      </w:r>
      <w:r>
        <w:rPr>
          <w:b/>
        </w:rPr>
        <w:tab/>
      </w:r>
      <w:r>
        <w:rPr>
          <w:b/>
        </w:rPr>
        <w:tab/>
      </w:r>
      <w:r>
        <w:rPr>
          <w:b/>
        </w:rPr>
        <w:tab/>
        <w:t>CASE No.:</w:t>
      </w:r>
      <w:r>
        <w:rPr>
          <w:b/>
        </w:rPr>
        <w:tab/>
      </w:r>
      <w:r>
        <w:rPr>
          <w:b/>
          <w:u w:val="single"/>
        </w:rPr>
        <w:tab/>
      </w:r>
      <w:r>
        <w:rPr>
          <w:b/>
          <w:u w:val="single"/>
        </w:rPr>
        <w:tab/>
      </w:r>
      <w:r>
        <w:rPr>
          <w:b/>
          <w:u w:val="single"/>
        </w:rPr>
        <w:tab/>
      </w:r>
      <w:r>
        <w:rPr>
          <w:b/>
          <w:u w:val="single"/>
        </w:rPr>
        <w:tab/>
      </w:r>
    </w:p>
    <w:p w14:paraId="43F7D16D" w14:textId="028C3478" w:rsidR="00EC6976" w:rsidRDefault="00BF4DDE" w:rsidP="00EC6976">
      <w:pPr>
        <w:rPr>
          <w:b/>
        </w:rPr>
      </w:pPr>
      <w:r>
        <w:rPr>
          <w:b/>
        </w:rPr>
        <w:t>and</w:t>
      </w:r>
    </w:p>
    <w:p w14:paraId="152A13F9" w14:textId="77777777" w:rsidR="00EC6976" w:rsidRPr="00EC6976" w:rsidRDefault="00EC6976" w:rsidP="00EC6976">
      <w:pPr>
        <w:rPr>
          <w:b/>
        </w:rPr>
      </w:pPr>
      <w:r>
        <w:rPr>
          <w:b/>
        </w:rPr>
        <w:tab/>
      </w:r>
      <w:r>
        <w:rPr>
          <w:b/>
        </w:rPr>
        <w:tab/>
      </w:r>
      <w:r>
        <w:rPr>
          <w:b/>
        </w:rPr>
        <w:tab/>
      </w:r>
      <w:r>
        <w:rPr>
          <w:b/>
        </w:rPr>
        <w:tab/>
      </w:r>
      <w:r>
        <w:rPr>
          <w:b/>
        </w:rPr>
        <w:tab/>
      </w:r>
      <w:r>
        <w:rPr>
          <w:b/>
        </w:rPr>
        <w:tab/>
      </w:r>
      <w:r>
        <w:rPr>
          <w:b/>
        </w:rPr>
        <w:tab/>
        <w:t>SECTION:</w:t>
      </w:r>
      <w:r>
        <w:rPr>
          <w:b/>
        </w:rPr>
        <w:tab/>
      </w:r>
      <w:r>
        <w:rPr>
          <w:b/>
          <w:u w:val="single"/>
        </w:rPr>
        <w:tab/>
      </w:r>
      <w:r>
        <w:rPr>
          <w:b/>
          <w:u w:val="single"/>
        </w:rPr>
        <w:tab/>
      </w:r>
      <w:r>
        <w:rPr>
          <w:b/>
          <w:u w:val="single"/>
        </w:rPr>
        <w:tab/>
      </w:r>
      <w:r>
        <w:rPr>
          <w:b/>
          <w:u w:val="single"/>
        </w:rPr>
        <w:tab/>
      </w:r>
    </w:p>
    <w:p w14:paraId="0A4CF4FA" w14:textId="77777777" w:rsidR="00EC6976" w:rsidRPr="00EC6976" w:rsidRDefault="00EC6976" w:rsidP="00EC6976">
      <w:pPr>
        <w:rPr>
          <w:b/>
        </w:rPr>
      </w:pPr>
      <w:r>
        <w:rPr>
          <w:b/>
          <w:u w:val="single"/>
        </w:rPr>
        <w:tab/>
      </w:r>
      <w:r>
        <w:rPr>
          <w:b/>
          <w:u w:val="single"/>
        </w:rPr>
        <w:tab/>
      </w:r>
      <w:r>
        <w:rPr>
          <w:b/>
          <w:u w:val="single"/>
        </w:rPr>
        <w:tab/>
      </w:r>
      <w:r>
        <w:rPr>
          <w:b/>
          <w:u w:val="single"/>
        </w:rPr>
        <w:tab/>
      </w:r>
      <w:r>
        <w:rPr>
          <w:b/>
        </w:rPr>
        <w:t>,</w:t>
      </w:r>
    </w:p>
    <w:p w14:paraId="455ED32B" w14:textId="2122B05A" w:rsidR="00EC6976" w:rsidRDefault="00EC6976" w:rsidP="00EC6976">
      <w:pPr>
        <w:rPr>
          <w:b/>
        </w:rPr>
      </w:pPr>
      <w:r>
        <w:rPr>
          <w:b/>
        </w:rPr>
        <w:tab/>
      </w:r>
      <w:r w:rsidR="00BF4DDE">
        <w:rPr>
          <w:b/>
        </w:rPr>
        <w:t>Respondent</w:t>
      </w:r>
      <w:r>
        <w:rPr>
          <w:b/>
        </w:rPr>
        <w:t>.</w:t>
      </w:r>
    </w:p>
    <w:p w14:paraId="61D7E2E0" w14:textId="77777777" w:rsidR="00EC6976" w:rsidRDefault="00EC6976" w:rsidP="00EC6976">
      <w:pPr>
        <w:tabs>
          <w:tab w:val="left" w:pos="4680"/>
        </w:tabs>
      </w:pPr>
      <w:r>
        <w:rPr>
          <w:u w:val="single"/>
        </w:rPr>
        <w:tab/>
      </w:r>
      <w:r>
        <w:t>/</w:t>
      </w:r>
    </w:p>
    <w:p w14:paraId="32278571" w14:textId="77777777" w:rsidR="00EC6976" w:rsidRDefault="00EC6976" w:rsidP="00EC6976"/>
    <w:p w14:paraId="2611FDBB" w14:textId="68EC11AD" w:rsidR="00EC6976" w:rsidRDefault="00EC6976" w:rsidP="00EC6976">
      <w:pPr>
        <w:jc w:val="center"/>
      </w:pPr>
      <w:r>
        <w:rPr>
          <w:b/>
          <w:u w:val="single"/>
        </w:rPr>
        <w:t>PRELIMINARY ORDER ON MOTION TO AWARD ATTORNEYS’ FEES</w:t>
      </w:r>
    </w:p>
    <w:p w14:paraId="1B3FBE49" w14:textId="77777777" w:rsidR="00EC6976" w:rsidRDefault="00EC6976" w:rsidP="00EC6976">
      <w:pPr>
        <w:jc w:val="center"/>
      </w:pPr>
    </w:p>
    <w:p w14:paraId="7773B7B4" w14:textId="76F98535" w:rsidR="00EC6976" w:rsidRDefault="00EC6976" w:rsidP="00EC6976">
      <w:r>
        <w:tab/>
      </w:r>
      <w:r>
        <w:rPr>
          <w:b/>
        </w:rPr>
        <w:t>THIS CAUSE</w:t>
      </w:r>
      <w:r>
        <w:t xml:space="preserve"> came before the Court without hearing on the </w:t>
      </w:r>
      <w:r w:rsidR="00BF4DDE">
        <w:rPr>
          <w:u w:val="single"/>
        </w:rPr>
        <w:t>Petitioner’s / Respondent’s</w:t>
      </w:r>
      <w:r>
        <w:t xml:space="preserve"> Motion to Award Attorney’s Fees</w:t>
      </w:r>
      <w:r w:rsidR="001F7FB5">
        <w:t xml:space="preserve"> (“the Motion”)</w:t>
      </w:r>
      <w:r>
        <w:t xml:space="preserve"> filed on </w:t>
      </w:r>
      <w:r w:rsidR="001F7FB5">
        <w:rPr>
          <w:u w:val="single"/>
        </w:rPr>
        <w:tab/>
      </w:r>
      <w:r w:rsidR="007A4C55">
        <w:rPr>
          <w:u w:val="single"/>
        </w:rPr>
        <w:t xml:space="preserve">      </w:t>
      </w:r>
      <w:proofErr w:type="gramStart"/>
      <w:r w:rsidR="007A4C55">
        <w:rPr>
          <w:u w:val="single"/>
        </w:rPr>
        <w:t xml:space="preserve">  </w:t>
      </w:r>
      <w:r>
        <w:t>.</w:t>
      </w:r>
      <w:proofErr w:type="gramEnd"/>
      <w:r>
        <w:t xml:space="preserve"> The Court, having reviewed the Motion and the Court’s file, and determining that this Order is necessary to ensure the orderly and efficient presentation and resolution of disputed attorneys’ fees, hereby</w:t>
      </w:r>
    </w:p>
    <w:p w14:paraId="2D5B75A5" w14:textId="77777777" w:rsidR="00EC6976" w:rsidRDefault="00EC6976" w:rsidP="00EC6976"/>
    <w:p w14:paraId="28BCFB28" w14:textId="77777777" w:rsidR="00EC6976" w:rsidRDefault="00EC6976" w:rsidP="00EC6976">
      <w:r>
        <w:tab/>
      </w:r>
      <w:r>
        <w:rPr>
          <w:b/>
        </w:rPr>
        <w:t>ORDERS AND ADJUDGES</w:t>
      </w:r>
      <w:r>
        <w:t xml:space="preserve"> as follows:</w:t>
      </w:r>
    </w:p>
    <w:p w14:paraId="74FBFA8E" w14:textId="77777777" w:rsidR="00EC6976" w:rsidRDefault="00EC6976" w:rsidP="00EC6976"/>
    <w:p w14:paraId="1D8F4A7E" w14:textId="5D7832B8" w:rsidR="00263DCE" w:rsidRDefault="001F7FB5" w:rsidP="00EC6976">
      <w:pPr>
        <w:pStyle w:val="ListParagraph"/>
        <w:numPr>
          <w:ilvl w:val="0"/>
          <w:numId w:val="1"/>
        </w:numPr>
        <w:ind w:left="0" w:firstLine="720"/>
      </w:pPr>
      <w:r>
        <w:t xml:space="preserve">No hearing on the </w:t>
      </w:r>
      <w:r w:rsidR="00263DCE">
        <w:t>Motion shall be had until the Parties have demonstrated compliance with this Order.</w:t>
      </w:r>
      <w:r w:rsidR="006A7398">
        <w:t xml:space="preserve"> If the non-movant fails to comply with this Order after the movant demonstrates compliance herewith, then the </w:t>
      </w:r>
      <w:r w:rsidR="00665812">
        <w:t xml:space="preserve">non-movant shall be deemed to have waived all objections to the movant’s Motion and shall be subject to the entry of </w:t>
      </w:r>
      <w:r w:rsidR="005970D8">
        <w:t xml:space="preserve">a final judgment taxing attorneys’ fees without hearing or notice. </w:t>
      </w:r>
      <w:r w:rsidR="006A7398">
        <w:t xml:space="preserve"> </w:t>
      </w:r>
    </w:p>
    <w:p w14:paraId="5B8E5B63" w14:textId="77777777" w:rsidR="00263DCE" w:rsidRDefault="00263DCE" w:rsidP="00C24A43"/>
    <w:p w14:paraId="01C80F4D" w14:textId="0B98EEDA" w:rsidR="00EC6976" w:rsidRDefault="00263DCE" w:rsidP="00EC6976">
      <w:pPr>
        <w:pStyle w:val="ListParagraph"/>
        <w:numPr>
          <w:ilvl w:val="0"/>
          <w:numId w:val="1"/>
        </w:numPr>
        <w:ind w:left="0" w:firstLine="720"/>
      </w:pPr>
      <w:r>
        <w:t xml:space="preserve"> </w:t>
      </w:r>
      <w:r w:rsidR="003441EC" w:rsidRPr="00C24A43">
        <w:rPr>
          <w:b/>
        </w:rPr>
        <w:t xml:space="preserve">By no later than the </w:t>
      </w:r>
      <w:r w:rsidR="00695C1B">
        <w:rPr>
          <w:b/>
        </w:rPr>
        <w:t>15th</w:t>
      </w:r>
      <w:r w:rsidR="003441EC" w:rsidRPr="00C24A43">
        <w:rPr>
          <w:b/>
        </w:rPr>
        <w:t xml:space="preserve"> day after rendition of this Order</w:t>
      </w:r>
      <w:r w:rsidR="003441EC">
        <w:t xml:space="preserve">, the movant shall serve upon the non-movant copies of any and all timesheets that the movant intends to rely upon in proving the amount of reasonable attorneys’ fees </w:t>
      </w:r>
      <w:proofErr w:type="gramStart"/>
      <w:r w:rsidR="003441EC">
        <w:t>sought, and</w:t>
      </w:r>
      <w:proofErr w:type="gramEnd"/>
      <w:r w:rsidR="003441EC">
        <w:t xml:space="preserve"> shall file with the Court a </w:t>
      </w:r>
      <w:r w:rsidR="003441EC">
        <w:rPr>
          <w:b/>
        </w:rPr>
        <w:t xml:space="preserve">Notice of </w:t>
      </w:r>
      <w:r w:rsidR="000A18FA">
        <w:rPr>
          <w:b/>
        </w:rPr>
        <w:t>Serving</w:t>
      </w:r>
      <w:r w:rsidR="00A07653">
        <w:rPr>
          <w:b/>
        </w:rPr>
        <w:t xml:space="preserve"> Timesheets</w:t>
      </w:r>
      <w:r w:rsidR="003441EC">
        <w:t xml:space="preserve"> indicating that such service has been accomplished, and shall include the non-movant in any certificate of service therein. </w:t>
      </w:r>
    </w:p>
    <w:p w14:paraId="4291E8B4" w14:textId="77777777" w:rsidR="003441EC" w:rsidRDefault="003441EC" w:rsidP="003441EC">
      <w:pPr>
        <w:pStyle w:val="ListParagraph"/>
      </w:pPr>
    </w:p>
    <w:p w14:paraId="5F2FB4FC" w14:textId="6DFBEABB" w:rsidR="003441EC" w:rsidRDefault="00E87B46" w:rsidP="00EC6976">
      <w:pPr>
        <w:pStyle w:val="ListParagraph"/>
        <w:numPr>
          <w:ilvl w:val="0"/>
          <w:numId w:val="1"/>
        </w:numPr>
        <w:ind w:left="0" w:firstLine="720"/>
      </w:pPr>
      <w:r>
        <w:t xml:space="preserve">The timesheets served </w:t>
      </w:r>
      <w:r w:rsidR="00F0004D">
        <w:t>pursuant to the</w:t>
      </w:r>
      <w:r>
        <w:t xml:space="preserve"> foregoing paragraph shall state with reasonable specificity</w:t>
      </w:r>
      <w:r w:rsidR="00C24A43">
        <w:t>: (1)</w:t>
      </w:r>
      <w:r>
        <w:t xml:space="preserve"> the date of each billed task</w:t>
      </w:r>
      <w:r w:rsidR="00C24A43">
        <w:t>; (2)</w:t>
      </w:r>
      <w:r>
        <w:t xml:space="preserve"> </w:t>
      </w:r>
      <w:r w:rsidR="00C24A43">
        <w:t>an explanation of each billed task; (3) the time spent performing the task; and (4) the hourly rate of each person</w:t>
      </w:r>
      <w:r w:rsidR="00F0004D">
        <w:t xml:space="preserve"> performing billable work on the task.  </w:t>
      </w:r>
    </w:p>
    <w:p w14:paraId="0B0CD922" w14:textId="77777777" w:rsidR="00AF6F4E" w:rsidRDefault="00AF6F4E" w:rsidP="00AF6F4E">
      <w:pPr>
        <w:pStyle w:val="ListParagraph"/>
      </w:pPr>
    </w:p>
    <w:p w14:paraId="7C48648E" w14:textId="640E711A" w:rsidR="00F164D7" w:rsidRDefault="009524B9" w:rsidP="00F10643">
      <w:pPr>
        <w:pStyle w:val="ListParagraph"/>
        <w:numPr>
          <w:ilvl w:val="0"/>
          <w:numId w:val="1"/>
        </w:numPr>
        <w:ind w:left="0" w:firstLine="720"/>
      </w:pPr>
      <w:r>
        <w:lastRenderedPageBreak/>
        <w:t xml:space="preserve"> </w:t>
      </w:r>
      <w:r w:rsidR="00A07653">
        <w:t>Unless</w:t>
      </w:r>
      <w:r w:rsidR="00EB38D5">
        <w:t xml:space="preserve"> the Parties waive the need for</w:t>
      </w:r>
      <w:r w:rsidR="00A07653">
        <w:t xml:space="preserve"> experts, by no later than the 30th day after service of the movant’s Notice of </w:t>
      </w:r>
      <w:r w:rsidR="009A59FE">
        <w:t>Serving Timesheets</w:t>
      </w:r>
      <w:r w:rsidR="00A07653">
        <w:t xml:space="preserve">, </w:t>
      </w:r>
      <w:r w:rsidR="009A59FE">
        <w:t xml:space="preserve">the non-movant’s </w:t>
      </w:r>
      <w:r w:rsidR="009A59FE">
        <w:rPr>
          <w:b/>
        </w:rPr>
        <w:t>expert</w:t>
      </w:r>
      <w:r w:rsidR="009A59FE">
        <w:t xml:space="preserve"> shall file a written </w:t>
      </w:r>
      <w:r w:rsidR="009A59FE" w:rsidRPr="009A59FE">
        <w:rPr>
          <w:b/>
        </w:rPr>
        <w:t>Notice of Objection</w:t>
      </w:r>
      <w:r w:rsidR="00205022">
        <w:rPr>
          <w:b/>
        </w:rPr>
        <w:t xml:space="preserve"> to Timesheet Items</w:t>
      </w:r>
      <w:r w:rsidR="009A59FE">
        <w:t xml:space="preserve"> </w:t>
      </w:r>
      <w:r w:rsidR="00FC5117">
        <w:t xml:space="preserve">specifying the timesheet items to which the non-movant objects. </w:t>
      </w:r>
      <w:r w:rsidR="00F564AC">
        <w:t>Such objections must state, with particularity, the</w:t>
      </w:r>
      <w:r w:rsidR="00C92E35">
        <w:t xml:space="preserve"> legal and factual</w:t>
      </w:r>
      <w:r w:rsidR="00F564AC">
        <w:t xml:space="preserve"> reasons </w:t>
      </w:r>
      <w:proofErr w:type="gramStart"/>
      <w:r w:rsidR="00F564AC">
        <w:t>therefor</w:t>
      </w:r>
      <w:proofErr w:type="gramEnd"/>
      <w:r w:rsidR="00F564AC">
        <w:t>, and specifically identify the task</w:t>
      </w:r>
      <w:r w:rsidR="00513C7A">
        <w:t>(s)</w:t>
      </w:r>
      <w:r w:rsidR="00F564AC">
        <w:t>, time, and/or hourly rate</w:t>
      </w:r>
      <w:r w:rsidR="009249C8">
        <w:t>(s)</w:t>
      </w:r>
      <w:r w:rsidR="00F564AC">
        <w:t xml:space="preserve"> to which the non-movant objects.</w:t>
      </w:r>
      <w:r w:rsidR="00636395">
        <w:t xml:space="preserve"> If the expert agrees that fees for a particular task are awardable, but objects to the length of time spent on the task or the hourly rate billed for the task, the expert shall state the length time and/or hourly rate that the expert believes is reasonable</w:t>
      </w:r>
      <w:r w:rsidR="003129E5">
        <w:t xml:space="preserve"> for that task.</w:t>
      </w:r>
      <w:r w:rsidR="00636395">
        <w:t xml:space="preserve"> </w:t>
      </w:r>
      <w:r w:rsidR="00F164D7">
        <w:t>The Notice of Objection</w:t>
      </w:r>
      <w:r w:rsidR="005161FB">
        <w:t xml:space="preserve"> to Timesheet Items</w:t>
      </w:r>
      <w:r w:rsidR="00F164D7">
        <w:t xml:space="preserve"> shall include the movant in the certificate of service. </w:t>
      </w:r>
    </w:p>
    <w:p w14:paraId="0847CEF4" w14:textId="77777777" w:rsidR="00432E48" w:rsidRDefault="00432E48" w:rsidP="00432E48">
      <w:pPr>
        <w:pStyle w:val="ListParagraph"/>
      </w:pPr>
    </w:p>
    <w:p w14:paraId="44D3C58B" w14:textId="7CB3E880" w:rsidR="005C621F" w:rsidRDefault="00EB38D5" w:rsidP="00F10643">
      <w:pPr>
        <w:pStyle w:val="ListParagraph"/>
        <w:numPr>
          <w:ilvl w:val="0"/>
          <w:numId w:val="1"/>
        </w:numPr>
        <w:ind w:left="0" w:firstLine="720"/>
      </w:pPr>
      <w:r>
        <w:t xml:space="preserve">If the Parties </w:t>
      </w:r>
      <w:r w:rsidR="00C057EA">
        <w:t xml:space="preserve">waive the need for experts, they shall file with the Court a written stipulation indicating the agreement to such waiver, and the obligation to comply with the foregoing </w:t>
      </w:r>
      <w:r w:rsidR="00432E48">
        <w:t xml:space="preserve">two </w:t>
      </w:r>
      <w:r w:rsidR="00C057EA">
        <w:t>paragraph</w:t>
      </w:r>
      <w:r w:rsidR="00432E48">
        <w:t>s</w:t>
      </w:r>
      <w:r w:rsidR="00C057EA">
        <w:t xml:space="preserve"> shall shift to the </w:t>
      </w:r>
      <w:r w:rsidR="00C057EA">
        <w:rPr>
          <w:b/>
        </w:rPr>
        <w:t>non-movant</w:t>
      </w:r>
      <w:r w:rsidR="00C057EA">
        <w:t>.</w:t>
      </w:r>
    </w:p>
    <w:p w14:paraId="3A7E3B35" w14:textId="77777777" w:rsidR="00432E48" w:rsidRDefault="00432E48" w:rsidP="00432E48">
      <w:pPr>
        <w:pStyle w:val="ListParagraph"/>
      </w:pPr>
    </w:p>
    <w:p w14:paraId="38CD63E6" w14:textId="131C3625" w:rsidR="00432E48" w:rsidRDefault="008460B4" w:rsidP="00F10643">
      <w:pPr>
        <w:pStyle w:val="ListParagraph"/>
        <w:numPr>
          <w:ilvl w:val="0"/>
          <w:numId w:val="1"/>
        </w:numPr>
        <w:ind w:left="0" w:firstLine="720"/>
      </w:pPr>
      <w:r>
        <w:t xml:space="preserve">By no later than the 10th day after service of a notice of objection, the movant shall file a response with the Court stating whether the movant agrees or disagrees with the objections stated in that notice of objection. </w:t>
      </w:r>
    </w:p>
    <w:p w14:paraId="4661E586" w14:textId="77777777" w:rsidR="00FB6E3E" w:rsidRDefault="00FB6E3E" w:rsidP="00FB6E3E">
      <w:pPr>
        <w:pStyle w:val="ListParagraph"/>
      </w:pPr>
    </w:p>
    <w:p w14:paraId="55B2E278" w14:textId="77777777" w:rsidR="00FB6E3E" w:rsidRDefault="00FB6E3E" w:rsidP="00F10643">
      <w:pPr>
        <w:pStyle w:val="ListParagraph"/>
        <w:numPr>
          <w:ilvl w:val="0"/>
          <w:numId w:val="1"/>
        </w:numPr>
        <w:ind w:left="0" w:firstLine="720"/>
      </w:pPr>
      <w:r>
        <w:t xml:space="preserve">When the Parties have complied with the foregoing paragraphs, the movant shall schedule its Motion for evidentiary hearing. </w:t>
      </w:r>
    </w:p>
    <w:p w14:paraId="4AA700D1" w14:textId="77777777" w:rsidR="00FB6E3E" w:rsidRDefault="00FB6E3E" w:rsidP="00FB6E3E">
      <w:pPr>
        <w:pStyle w:val="ListParagraph"/>
      </w:pPr>
    </w:p>
    <w:p w14:paraId="3C55E5E9" w14:textId="1E41E913" w:rsidR="00FB6E3E" w:rsidRDefault="00FB6E3E" w:rsidP="00F10643">
      <w:pPr>
        <w:pStyle w:val="ListParagraph"/>
        <w:numPr>
          <w:ilvl w:val="0"/>
          <w:numId w:val="1"/>
        </w:numPr>
        <w:ind w:left="0" w:firstLine="720"/>
      </w:pPr>
      <w:r>
        <w:t xml:space="preserve">Once the evidentiary hearing is scheduled, either Party may request an order directing the Parties to attend a mediation conference </w:t>
      </w:r>
      <w:r>
        <w:rPr>
          <w:b/>
        </w:rPr>
        <w:t>strictly limited to the issue of attorneys’ fees</w:t>
      </w:r>
      <w:r>
        <w:t xml:space="preserve">. The Court maintains sole discretion whether to order the Parties to attend such mediation.  </w:t>
      </w:r>
    </w:p>
    <w:p w14:paraId="5E351728" w14:textId="77777777" w:rsidR="002164AD" w:rsidRDefault="002164AD" w:rsidP="002164AD">
      <w:pPr>
        <w:pStyle w:val="ListParagraph"/>
      </w:pPr>
    </w:p>
    <w:p w14:paraId="67310260" w14:textId="0292CDCA" w:rsidR="002164AD" w:rsidRDefault="002164AD" w:rsidP="00F10643">
      <w:pPr>
        <w:pStyle w:val="ListParagraph"/>
        <w:numPr>
          <w:ilvl w:val="0"/>
          <w:numId w:val="1"/>
        </w:numPr>
        <w:ind w:left="0" w:firstLine="720"/>
      </w:pPr>
      <w:r>
        <w:t>No later than two (2) business days prior to the evidentiary hearing, the Parties, or their experts, shall meet with each other and review the disputed fee items and</w:t>
      </w:r>
      <w:r w:rsidR="00952950">
        <w:t xml:space="preserve"> shall</w:t>
      </w:r>
      <w:r>
        <w:t xml:space="preserve"> attempt to resolve such disputes and shall attempt to narrow the disputed issues to be presented at the evidentiary hearing.</w:t>
      </w:r>
      <w:r w:rsidR="008A5675">
        <w:t xml:space="preserve"> After this meeting, the Parties, or their experts, shall </w:t>
      </w:r>
      <w:r w:rsidR="00437792">
        <w:t>calculate the sum of time for each person on the movant’s timesheets that</w:t>
      </w:r>
      <w:r w:rsidR="00C62CF3">
        <w:t xml:space="preserve"> both Parties or experts believe are reasonable, and shall separately calculate such sum of time that each expert believes is reasonable as to the dispute timesheet items. </w:t>
      </w:r>
    </w:p>
    <w:p w14:paraId="4C36F7BA" w14:textId="77777777" w:rsidR="008A5675" w:rsidRDefault="008A5675" w:rsidP="008A5675">
      <w:pPr>
        <w:pStyle w:val="ListParagraph"/>
      </w:pPr>
    </w:p>
    <w:p w14:paraId="4ADE462D" w14:textId="5A8C7ED0" w:rsidR="008A5675" w:rsidRPr="00333E5F" w:rsidRDefault="00333E5F" w:rsidP="00F10643">
      <w:pPr>
        <w:pStyle w:val="ListParagraph"/>
        <w:numPr>
          <w:ilvl w:val="0"/>
          <w:numId w:val="1"/>
        </w:numPr>
        <w:ind w:left="0" w:firstLine="720"/>
        <w:rPr>
          <w:b/>
        </w:rPr>
      </w:pPr>
      <w:r w:rsidRPr="00333E5F">
        <w:rPr>
          <w:b/>
        </w:rPr>
        <w:t xml:space="preserve">Discovery is strictly limited to the records and information to be exchanged pursuant to this Order. </w:t>
      </w:r>
      <w:r>
        <w:rPr>
          <w:b/>
        </w:rPr>
        <w:t xml:space="preserve">Except as permitted by the Court upon good cause shown, no other discovery shall be </w:t>
      </w:r>
      <w:proofErr w:type="gramStart"/>
      <w:r>
        <w:rPr>
          <w:b/>
        </w:rPr>
        <w:t>had</w:t>
      </w:r>
      <w:proofErr w:type="gramEnd"/>
      <w:r>
        <w:rPr>
          <w:b/>
        </w:rPr>
        <w:t>.</w:t>
      </w:r>
    </w:p>
    <w:p w14:paraId="04E4EEBB" w14:textId="13A92B35" w:rsidR="00333E5F" w:rsidRDefault="00F857C2" w:rsidP="00F10643">
      <w:pPr>
        <w:pStyle w:val="ListParagraph"/>
        <w:numPr>
          <w:ilvl w:val="0"/>
          <w:numId w:val="1"/>
        </w:numPr>
        <w:ind w:left="0" w:firstLine="720"/>
      </w:pPr>
      <w:r>
        <w:lastRenderedPageBreak/>
        <w:t xml:space="preserve">The evidentiary hearing shall be limited to only those objections provided, absent good cause shown. If any item, task, length of time, or hourly rate is not objected to pursuant to the procedures set forth in this Order, </w:t>
      </w:r>
      <w:r w:rsidR="00D01723">
        <w:t xml:space="preserve">this Court shall presume that such items, tasks, lengths of time, and hourly rates are reasonable. </w:t>
      </w:r>
    </w:p>
    <w:p w14:paraId="182DBE36" w14:textId="77777777" w:rsidR="00AE7B7C" w:rsidRDefault="00AE7B7C" w:rsidP="00AE7B7C">
      <w:pPr>
        <w:pStyle w:val="ListParagraph"/>
      </w:pPr>
    </w:p>
    <w:p w14:paraId="2D80A6C3" w14:textId="5BEB465A" w:rsidR="00AE7B7C" w:rsidRDefault="00AE7B7C" w:rsidP="00F10643">
      <w:pPr>
        <w:pStyle w:val="ListParagraph"/>
        <w:numPr>
          <w:ilvl w:val="0"/>
          <w:numId w:val="1"/>
        </w:numPr>
        <w:ind w:left="0" w:firstLine="720"/>
      </w:pPr>
      <w:r>
        <w:t xml:space="preserve">The Parties, their attorneys, and their experts shall exercise good faith in complying with this Order. The Court, upon motion of a Party or </w:t>
      </w:r>
      <w:proofErr w:type="spellStart"/>
      <w:r>
        <w:rPr>
          <w:i/>
        </w:rPr>
        <w:t>sua</w:t>
      </w:r>
      <w:proofErr w:type="spellEnd"/>
      <w:r>
        <w:rPr>
          <w:i/>
        </w:rPr>
        <w:t xml:space="preserve"> sponte</w:t>
      </w:r>
      <w:r>
        <w:t xml:space="preserve">, may impose appropriate sanctions for any noncompliance with this Order. </w:t>
      </w:r>
      <w:r w:rsidR="002B435B">
        <w:t xml:space="preserve">Such sanctions include without limitation the </w:t>
      </w:r>
      <w:proofErr w:type="gramStart"/>
      <w:r w:rsidR="002B435B">
        <w:t>striking</w:t>
      </w:r>
      <w:proofErr w:type="gramEnd"/>
      <w:r w:rsidR="002B435B">
        <w:t xml:space="preserve"> of any filings</w:t>
      </w:r>
      <w:r w:rsidR="004C3B91">
        <w:t xml:space="preserve"> submitted pursuant to the procedures set forth in this Order or the </w:t>
      </w:r>
      <w:proofErr w:type="gramStart"/>
      <w:r w:rsidR="004C3B91">
        <w:t>striking</w:t>
      </w:r>
      <w:proofErr w:type="gramEnd"/>
      <w:r w:rsidR="004C3B91">
        <w:t xml:space="preserve"> of any other filings </w:t>
      </w:r>
      <w:r w:rsidR="002B435B">
        <w:t xml:space="preserve">directed </w:t>
      </w:r>
      <w:proofErr w:type="gramStart"/>
      <w:r w:rsidR="002B435B">
        <w:t>to</w:t>
      </w:r>
      <w:proofErr w:type="gramEnd"/>
      <w:r w:rsidR="002B435B">
        <w:t xml:space="preserve"> the issue of attorneys’ fees </w:t>
      </w:r>
      <w:r w:rsidR="004C3B91">
        <w:t xml:space="preserve">in this matter. </w:t>
      </w:r>
    </w:p>
    <w:p w14:paraId="74085DE3" w14:textId="77777777" w:rsidR="00EF21C2" w:rsidRDefault="00EF21C2" w:rsidP="00EF21C2">
      <w:pPr>
        <w:pStyle w:val="ListParagraph"/>
      </w:pPr>
    </w:p>
    <w:p w14:paraId="30C44142" w14:textId="367D3630" w:rsidR="00EF21C2" w:rsidRDefault="00985BE2" w:rsidP="00F10643">
      <w:pPr>
        <w:pStyle w:val="ListParagraph"/>
        <w:numPr>
          <w:ilvl w:val="0"/>
          <w:numId w:val="1"/>
        </w:numPr>
        <w:ind w:left="0" w:firstLine="720"/>
      </w:pPr>
      <w:r>
        <w:t>This order is issued following the Court’s prior determination of entitlement to attorneys’ fees. As such, no objections to entitlement shall be entertained</w:t>
      </w:r>
      <w:r w:rsidR="00CB3FA4">
        <w:t xml:space="preserve">. </w:t>
      </w:r>
    </w:p>
    <w:p w14:paraId="2CC3ECB9" w14:textId="77777777" w:rsidR="007A1B43" w:rsidRDefault="007A1B43" w:rsidP="007A1B43">
      <w:pPr>
        <w:pStyle w:val="ListParagraph"/>
      </w:pPr>
    </w:p>
    <w:p w14:paraId="399F3BBF" w14:textId="275D4D9E" w:rsidR="007A1B43" w:rsidRDefault="007A1B43" w:rsidP="007A1B43">
      <w:pPr>
        <w:ind w:firstLine="720"/>
      </w:pPr>
      <w:r>
        <w:rPr>
          <w:b/>
        </w:rPr>
        <w:t>DONE AND ORDERED</w:t>
      </w:r>
      <w:r>
        <w:t xml:space="preserve"> in chambers in Dade City, Pasco County, Florida </w:t>
      </w:r>
      <w:r w:rsidR="004A0A2F">
        <w:t xml:space="preserve">on </w:t>
      </w:r>
      <w:r w:rsidR="004A0A2F">
        <w:rPr>
          <w:u w:val="single"/>
        </w:rPr>
        <w:tab/>
      </w:r>
      <w:r w:rsidR="004A0A2F">
        <w:rPr>
          <w:u w:val="single"/>
        </w:rPr>
        <w:tab/>
      </w:r>
      <w:r w:rsidR="004A0A2F">
        <w:rPr>
          <w:u w:val="single"/>
        </w:rPr>
        <w:tab/>
      </w:r>
      <w:r>
        <w:t>.</w:t>
      </w:r>
    </w:p>
    <w:p w14:paraId="7C561584" w14:textId="0D8463D7" w:rsidR="007A1B43" w:rsidRDefault="007A1B43" w:rsidP="007A1B43">
      <w:pPr>
        <w:ind w:firstLine="720"/>
      </w:pPr>
    </w:p>
    <w:p w14:paraId="2AF6DE63" w14:textId="5BBE470B" w:rsidR="007A1B43" w:rsidRDefault="007A1B43" w:rsidP="007A1B43">
      <w:pPr>
        <w:ind w:firstLine="720"/>
      </w:pPr>
    </w:p>
    <w:p w14:paraId="2DB84AFD" w14:textId="12218529" w:rsidR="007A1B43" w:rsidRDefault="007A1B43" w:rsidP="007A1B43">
      <w:pPr>
        <w:ind w:firstLine="720"/>
      </w:pPr>
    </w:p>
    <w:p w14:paraId="2AFE20AE" w14:textId="4FC32EEF" w:rsidR="007A1B43" w:rsidRDefault="007A1B43" w:rsidP="007A1B43">
      <w:pPr>
        <w:ind w:hanging="90"/>
        <w:jc w:val="right"/>
      </w:pPr>
      <w:r>
        <w:rPr>
          <w:u w:val="single"/>
        </w:rPr>
        <w:tab/>
      </w:r>
      <w:r>
        <w:rPr>
          <w:u w:val="single"/>
        </w:rPr>
        <w:tab/>
      </w:r>
      <w:r>
        <w:rPr>
          <w:u w:val="single"/>
        </w:rPr>
        <w:tab/>
      </w:r>
      <w:r>
        <w:rPr>
          <w:u w:val="single"/>
        </w:rPr>
        <w:tab/>
      </w:r>
      <w:r>
        <w:rPr>
          <w:u w:val="single"/>
        </w:rPr>
        <w:tab/>
      </w:r>
      <w:r>
        <w:rPr>
          <w:u w:val="single"/>
        </w:rPr>
        <w:tab/>
      </w:r>
    </w:p>
    <w:p w14:paraId="0BCA7AB5" w14:textId="0DEC5EDE" w:rsidR="007A1B43" w:rsidRPr="004A0A2F" w:rsidRDefault="007A1B43" w:rsidP="007A1B43">
      <w:pPr>
        <w:ind w:hanging="90"/>
        <w:jc w:val="right"/>
        <w:rPr>
          <w:b/>
          <w:bCs/>
        </w:rPr>
      </w:pPr>
      <w:r w:rsidRPr="004A0A2F">
        <w:rPr>
          <w:b/>
          <w:bCs/>
        </w:rPr>
        <w:t>HON. KNUTE J. NATHE</w:t>
      </w:r>
      <w:r w:rsidRPr="004A0A2F">
        <w:rPr>
          <w:b/>
          <w:bCs/>
        </w:rPr>
        <w:tab/>
      </w:r>
      <w:r w:rsidRPr="004A0A2F">
        <w:rPr>
          <w:b/>
          <w:bCs/>
        </w:rPr>
        <w:tab/>
      </w:r>
    </w:p>
    <w:p w14:paraId="2F110946" w14:textId="05EA4704" w:rsidR="007A1B43" w:rsidRPr="004A0A2F" w:rsidRDefault="004A0A2F" w:rsidP="007A1B43">
      <w:pPr>
        <w:ind w:hanging="90"/>
        <w:jc w:val="right"/>
        <w:rPr>
          <w:b/>
          <w:bCs/>
        </w:rPr>
      </w:pPr>
      <w:r>
        <w:rPr>
          <w:b/>
          <w:bCs/>
        </w:rPr>
        <w:t xml:space="preserve">CIRCUIT </w:t>
      </w:r>
      <w:r w:rsidR="007A1B43" w:rsidRPr="004A0A2F">
        <w:rPr>
          <w:b/>
          <w:bCs/>
        </w:rPr>
        <w:t>COURT JUDGE</w:t>
      </w:r>
      <w:r w:rsidR="007A1B43" w:rsidRPr="004A0A2F">
        <w:rPr>
          <w:b/>
          <w:bCs/>
        </w:rPr>
        <w:tab/>
      </w:r>
    </w:p>
    <w:p w14:paraId="1C466A0E" w14:textId="59B5AF73" w:rsidR="007A1B43" w:rsidRDefault="007A1B43" w:rsidP="007A1B43">
      <w:pPr>
        <w:ind w:hanging="90"/>
      </w:pPr>
      <w:r>
        <w:rPr>
          <w:b/>
          <w:u w:val="single"/>
        </w:rPr>
        <w:t xml:space="preserve">Copies </w:t>
      </w:r>
      <w:proofErr w:type="gramStart"/>
      <w:r>
        <w:rPr>
          <w:b/>
          <w:u w:val="single"/>
        </w:rPr>
        <w:t>to</w:t>
      </w:r>
      <w:proofErr w:type="gramEnd"/>
      <w:r>
        <w:rPr>
          <w:b/>
          <w:u w:val="single"/>
        </w:rPr>
        <w:t>:</w:t>
      </w:r>
    </w:p>
    <w:p w14:paraId="2A18B7C1" w14:textId="77777777" w:rsidR="007A1B43" w:rsidRPr="007A1B43" w:rsidRDefault="007A1B43" w:rsidP="007A1B43">
      <w:pPr>
        <w:ind w:hanging="90"/>
      </w:pPr>
    </w:p>
    <w:sectPr w:rsidR="007A1B43" w:rsidRPr="007A1B43" w:rsidSect="00F0004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6E600" w14:textId="77777777" w:rsidR="000F0A59" w:rsidRDefault="000F0A59" w:rsidP="00F0004D">
      <w:pPr>
        <w:spacing w:line="240" w:lineRule="auto"/>
      </w:pPr>
      <w:r>
        <w:separator/>
      </w:r>
    </w:p>
  </w:endnote>
  <w:endnote w:type="continuationSeparator" w:id="0">
    <w:p w14:paraId="188B5B1F" w14:textId="77777777" w:rsidR="000F0A59" w:rsidRDefault="000F0A59" w:rsidP="00F00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56AF6" w14:textId="77777777" w:rsidR="000F0A59" w:rsidRDefault="000F0A59" w:rsidP="00F0004D">
      <w:pPr>
        <w:spacing w:line="240" w:lineRule="auto"/>
      </w:pPr>
      <w:r>
        <w:separator/>
      </w:r>
    </w:p>
  </w:footnote>
  <w:footnote w:type="continuationSeparator" w:id="0">
    <w:p w14:paraId="6490482A" w14:textId="77777777" w:rsidR="000F0A59" w:rsidRDefault="000F0A59" w:rsidP="00F000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50EB" w14:textId="7A56D1FF" w:rsidR="00665812" w:rsidRDefault="00665812">
    <w:pPr>
      <w:pStyle w:val="Header"/>
      <w:rPr>
        <w:b/>
        <w:i/>
        <w:sz w:val="20"/>
        <w:szCs w:val="20"/>
      </w:rPr>
    </w:pPr>
    <w:r>
      <w:rPr>
        <w:b/>
        <w:i/>
        <w:sz w:val="20"/>
        <w:szCs w:val="20"/>
      </w:rPr>
      <w:t>[Case Caption]</w:t>
    </w:r>
  </w:p>
  <w:p w14:paraId="6FC31D9E" w14:textId="5F3444ED" w:rsidR="00665812" w:rsidRDefault="00665812">
    <w:pPr>
      <w:pStyle w:val="Header"/>
      <w:rPr>
        <w:b/>
        <w:i/>
        <w:sz w:val="20"/>
        <w:szCs w:val="20"/>
      </w:rPr>
    </w:pPr>
    <w:r>
      <w:rPr>
        <w:b/>
        <w:i/>
        <w:sz w:val="20"/>
        <w:szCs w:val="20"/>
      </w:rPr>
      <w:t>[Case Number]</w:t>
    </w:r>
  </w:p>
  <w:p w14:paraId="73451AED" w14:textId="504A0563" w:rsidR="00665812" w:rsidRDefault="00665812">
    <w:pPr>
      <w:pStyle w:val="Header"/>
      <w:rPr>
        <w:b/>
        <w:i/>
        <w:sz w:val="20"/>
        <w:szCs w:val="20"/>
      </w:rPr>
    </w:pPr>
    <w:r>
      <w:rPr>
        <w:b/>
        <w:i/>
        <w:sz w:val="20"/>
        <w:szCs w:val="20"/>
      </w:rPr>
      <w:t>Preliminary Order on Motion to Award Attorneys’ Fees</w:t>
    </w:r>
  </w:p>
  <w:sdt>
    <w:sdtPr>
      <w:rPr>
        <w:b/>
        <w:i/>
        <w:sz w:val="20"/>
        <w:szCs w:val="20"/>
      </w:rPr>
      <w:id w:val="98381352"/>
      <w:docPartObj>
        <w:docPartGallery w:val="Page Numbers (Top of Page)"/>
        <w:docPartUnique/>
      </w:docPartObj>
    </w:sdtPr>
    <w:sdtEndPr/>
    <w:sdtContent>
      <w:p w14:paraId="28789262" w14:textId="77777777" w:rsidR="00665812" w:rsidRDefault="00665812">
        <w:pPr>
          <w:pStyle w:val="Header"/>
          <w:rPr>
            <w:b/>
            <w:bCs/>
            <w:i/>
            <w:sz w:val="20"/>
            <w:szCs w:val="20"/>
          </w:rPr>
        </w:pPr>
        <w:r w:rsidRPr="00F0004D">
          <w:rPr>
            <w:b/>
            <w:i/>
            <w:sz w:val="20"/>
            <w:szCs w:val="20"/>
          </w:rPr>
          <w:t xml:space="preserve">Page </w:t>
        </w:r>
        <w:r w:rsidRPr="00F0004D">
          <w:rPr>
            <w:b/>
            <w:bCs/>
            <w:i/>
            <w:sz w:val="20"/>
            <w:szCs w:val="20"/>
          </w:rPr>
          <w:fldChar w:fldCharType="begin"/>
        </w:r>
        <w:r w:rsidRPr="00F0004D">
          <w:rPr>
            <w:b/>
            <w:bCs/>
            <w:i/>
            <w:sz w:val="20"/>
            <w:szCs w:val="20"/>
          </w:rPr>
          <w:instrText xml:space="preserve"> PAGE </w:instrText>
        </w:r>
        <w:r w:rsidRPr="00F0004D">
          <w:rPr>
            <w:b/>
            <w:bCs/>
            <w:i/>
            <w:sz w:val="20"/>
            <w:szCs w:val="20"/>
          </w:rPr>
          <w:fldChar w:fldCharType="separate"/>
        </w:r>
        <w:r w:rsidRPr="00F0004D">
          <w:rPr>
            <w:b/>
            <w:bCs/>
            <w:i/>
            <w:noProof/>
            <w:sz w:val="20"/>
            <w:szCs w:val="20"/>
          </w:rPr>
          <w:t>2</w:t>
        </w:r>
        <w:r w:rsidRPr="00F0004D">
          <w:rPr>
            <w:b/>
            <w:bCs/>
            <w:i/>
            <w:sz w:val="20"/>
            <w:szCs w:val="20"/>
          </w:rPr>
          <w:fldChar w:fldCharType="end"/>
        </w:r>
        <w:r w:rsidRPr="00F0004D">
          <w:rPr>
            <w:b/>
            <w:i/>
            <w:sz w:val="20"/>
            <w:szCs w:val="20"/>
          </w:rPr>
          <w:t xml:space="preserve"> of </w:t>
        </w:r>
        <w:r w:rsidRPr="00F0004D">
          <w:rPr>
            <w:b/>
            <w:bCs/>
            <w:i/>
            <w:sz w:val="20"/>
            <w:szCs w:val="20"/>
          </w:rPr>
          <w:fldChar w:fldCharType="begin"/>
        </w:r>
        <w:r w:rsidRPr="00F0004D">
          <w:rPr>
            <w:b/>
            <w:bCs/>
            <w:i/>
            <w:sz w:val="20"/>
            <w:szCs w:val="20"/>
          </w:rPr>
          <w:instrText xml:space="preserve"> NUMPAGES  </w:instrText>
        </w:r>
        <w:r w:rsidRPr="00F0004D">
          <w:rPr>
            <w:b/>
            <w:bCs/>
            <w:i/>
            <w:sz w:val="20"/>
            <w:szCs w:val="20"/>
          </w:rPr>
          <w:fldChar w:fldCharType="separate"/>
        </w:r>
        <w:r w:rsidRPr="00F0004D">
          <w:rPr>
            <w:b/>
            <w:bCs/>
            <w:i/>
            <w:noProof/>
            <w:sz w:val="20"/>
            <w:szCs w:val="20"/>
          </w:rPr>
          <w:t>2</w:t>
        </w:r>
        <w:r w:rsidRPr="00F0004D">
          <w:rPr>
            <w:b/>
            <w:bCs/>
            <w:i/>
            <w:sz w:val="20"/>
            <w:szCs w:val="20"/>
          </w:rPr>
          <w:fldChar w:fldCharType="end"/>
        </w:r>
      </w:p>
      <w:p w14:paraId="56C5FF0D" w14:textId="08F13485" w:rsidR="00665812" w:rsidRPr="00F0004D" w:rsidRDefault="000F0A59">
        <w:pPr>
          <w:pStyle w:val="Header"/>
          <w:rPr>
            <w:b/>
            <w:i/>
            <w:sz w:val="20"/>
            <w:szCs w:val="20"/>
          </w:rPr>
        </w:pPr>
      </w:p>
    </w:sdtContent>
  </w:sdt>
  <w:p w14:paraId="0F7B1AF7" w14:textId="77777777" w:rsidR="00665812" w:rsidRPr="00F0004D" w:rsidRDefault="00665812">
    <w:pPr>
      <w:pStyle w:val="Header"/>
      <w:rPr>
        <w:b/>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B2B3C"/>
    <w:multiLevelType w:val="hybridMultilevel"/>
    <w:tmpl w:val="B4526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427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76"/>
    <w:rsid w:val="000A18FA"/>
    <w:rsid w:val="000F0A59"/>
    <w:rsid w:val="0017396C"/>
    <w:rsid w:val="001E0C94"/>
    <w:rsid w:val="001F7FB5"/>
    <w:rsid w:val="00205022"/>
    <w:rsid w:val="00212C97"/>
    <w:rsid w:val="002164AD"/>
    <w:rsid w:val="00243BCD"/>
    <w:rsid w:val="00263DCE"/>
    <w:rsid w:val="002B435B"/>
    <w:rsid w:val="002C3311"/>
    <w:rsid w:val="002C7F03"/>
    <w:rsid w:val="002D3390"/>
    <w:rsid w:val="003129E5"/>
    <w:rsid w:val="00330798"/>
    <w:rsid w:val="00333E5F"/>
    <w:rsid w:val="003441EC"/>
    <w:rsid w:val="003737BD"/>
    <w:rsid w:val="003842F9"/>
    <w:rsid w:val="00394831"/>
    <w:rsid w:val="00415152"/>
    <w:rsid w:val="00425F1B"/>
    <w:rsid w:val="00432E48"/>
    <w:rsid w:val="00437792"/>
    <w:rsid w:val="004A0A2F"/>
    <w:rsid w:val="004C3B91"/>
    <w:rsid w:val="00513C7A"/>
    <w:rsid w:val="005161FB"/>
    <w:rsid w:val="00523DC7"/>
    <w:rsid w:val="00550A72"/>
    <w:rsid w:val="00586FFC"/>
    <w:rsid w:val="005970D8"/>
    <w:rsid w:val="005C621F"/>
    <w:rsid w:val="00636395"/>
    <w:rsid w:val="00665812"/>
    <w:rsid w:val="0069059C"/>
    <w:rsid w:val="00695C1B"/>
    <w:rsid w:val="006A3270"/>
    <w:rsid w:val="006A7398"/>
    <w:rsid w:val="006B7F5F"/>
    <w:rsid w:val="006C5532"/>
    <w:rsid w:val="00715189"/>
    <w:rsid w:val="007639A0"/>
    <w:rsid w:val="007A1B43"/>
    <w:rsid w:val="007A4C55"/>
    <w:rsid w:val="008460B4"/>
    <w:rsid w:val="00847BB0"/>
    <w:rsid w:val="008A5675"/>
    <w:rsid w:val="008E30D7"/>
    <w:rsid w:val="009249C8"/>
    <w:rsid w:val="00924C08"/>
    <w:rsid w:val="00945368"/>
    <w:rsid w:val="009524B9"/>
    <w:rsid w:val="00952950"/>
    <w:rsid w:val="00961BBB"/>
    <w:rsid w:val="00985BE2"/>
    <w:rsid w:val="009A59FE"/>
    <w:rsid w:val="009E43E4"/>
    <w:rsid w:val="00A07653"/>
    <w:rsid w:val="00A14FAB"/>
    <w:rsid w:val="00AE7B7C"/>
    <w:rsid w:val="00AF6F4E"/>
    <w:rsid w:val="00B27AAA"/>
    <w:rsid w:val="00BA3E47"/>
    <w:rsid w:val="00BF4DDE"/>
    <w:rsid w:val="00C057EA"/>
    <w:rsid w:val="00C24A43"/>
    <w:rsid w:val="00C3213A"/>
    <w:rsid w:val="00C52D7D"/>
    <w:rsid w:val="00C62CF3"/>
    <w:rsid w:val="00C7036B"/>
    <w:rsid w:val="00C92E35"/>
    <w:rsid w:val="00CB3FA4"/>
    <w:rsid w:val="00CF79ED"/>
    <w:rsid w:val="00D01723"/>
    <w:rsid w:val="00DA0F88"/>
    <w:rsid w:val="00DC0F34"/>
    <w:rsid w:val="00E52F53"/>
    <w:rsid w:val="00E87B46"/>
    <w:rsid w:val="00E96C79"/>
    <w:rsid w:val="00EB38D5"/>
    <w:rsid w:val="00EC542A"/>
    <w:rsid w:val="00EC6976"/>
    <w:rsid w:val="00ED2997"/>
    <w:rsid w:val="00EF21C2"/>
    <w:rsid w:val="00F0004D"/>
    <w:rsid w:val="00F10643"/>
    <w:rsid w:val="00F164D7"/>
    <w:rsid w:val="00F24021"/>
    <w:rsid w:val="00F564AC"/>
    <w:rsid w:val="00F857C2"/>
    <w:rsid w:val="00FB6E3E"/>
    <w:rsid w:val="00FC5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A3B10"/>
  <w15:chartTrackingRefBased/>
  <w15:docId w15:val="{409D927C-C3E8-48BB-A72E-57116C0C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sz w:val="24"/>
        <w:szCs w:val="24"/>
        <w:lang w:val="en-US" w:eastAsia="en-US"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976"/>
    <w:pPr>
      <w:ind w:left="720"/>
      <w:contextualSpacing/>
    </w:pPr>
  </w:style>
  <w:style w:type="paragraph" w:styleId="Header">
    <w:name w:val="header"/>
    <w:basedOn w:val="Normal"/>
    <w:link w:val="HeaderChar"/>
    <w:uiPriority w:val="99"/>
    <w:unhideWhenUsed/>
    <w:rsid w:val="00F0004D"/>
    <w:pPr>
      <w:tabs>
        <w:tab w:val="center" w:pos="4680"/>
        <w:tab w:val="right" w:pos="9360"/>
      </w:tabs>
      <w:spacing w:line="240" w:lineRule="auto"/>
    </w:pPr>
  </w:style>
  <w:style w:type="character" w:customStyle="1" w:styleId="HeaderChar">
    <w:name w:val="Header Char"/>
    <w:basedOn w:val="DefaultParagraphFont"/>
    <w:link w:val="Header"/>
    <w:uiPriority w:val="99"/>
    <w:rsid w:val="00F0004D"/>
  </w:style>
  <w:style w:type="paragraph" w:styleId="Footer">
    <w:name w:val="footer"/>
    <w:basedOn w:val="Normal"/>
    <w:link w:val="FooterChar"/>
    <w:uiPriority w:val="99"/>
    <w:unhideWhenUsed/>
    <w:rsid w:val="00F0004D"/>
    <w:pPr>
      <w:tabs>
        <w:tab w:val="center" w:pos="4680"/>
        <w:tab w:val="right" w:pos="9360"/>
      </w:tabs>
      <w:spacing w:line="240" w:lineRule="auto"/>
    </w:pPr>
  </w:style>
  <w:style w:type="character" w:customStyle="1" w:styleId="FooterChar">
    <w:name w:val="Footer Char"/>
    <w:basedOn w:val="DefaultParagraphFont"/>
    <w:link w:val="Footer"/>
    <w:uiPriority w:val="99"/>
    <w:rsid w:val="00F00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B74CFEA7A3314AB3D132B5C48E7F4D" ma:contentTypeVersion="10" ma:contentTypeDescription="Create a new document." ma:contentTypeScope="" ma:versionID="fbd950983ed074e40ef18db1471cbcde">
  <xsd:schema xmlns:xsd="http://www.w3.org/2001/XMLSchema" xmlns:xs="http://www.w3.org/2001/XMLSchema" xmlns:p="http://schemas.microsoft.com/office/2006/metadata/properties" xmlns:ns3="b77ab6c4-273d-40ec-8011-1d3d3b8fc026" targetNamespace="http://schemas.microsoft.com/office/2006/metadata/properties" ma:root="true" ma:fieldsID="6d4113995fd0a7b051190c61cd530f47" ns3:_="">
    <xsd:import namespace="b77ab6c4-273d-40ec-8011-1d3d3b8fc0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ab6c4-273d-40ec-8011-1d3d3b8f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52404-2A8D-42B1-AABA-3F92219A31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19E36A-130F-4CD2-83FC-35AAA1DFA448}">
  <ds:schemaRefs>
    <ds:schemaRef ds:uri="http://schemas.microsoft.com/sharepoint/v3/contenttype/forms"/>
  </ds:schemaRefs>
</ds:datastoreItem>
</file>

<file path=customXml/itemProps3.xml><?xml version="1.0" encoding="utf-8"?>
<ds:datastoreItem xmlns:ds="http://schemas.openxmlformats.org/officeDocument/2006/customXml" ds:itemID="{DD919006-BB47-4709-A1C9-C55194BFA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ab6c4-273d-40ec-8011-1d3d3b8fc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27B47C-8602-4CAE-8AB3-9FB30D60F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on Preliminary Fee Hearing</dc:title>
  <dc:subject/>
  <dc:creator>Nathe, Judge Knute</dc:creator>
  <cp:keywords/>
  <dc:description/>
  <cp:lastModifiedBy>Morrow, Amber</cp:lastModifiedBy>
  <cp:revision>9</cp:revision>
  <dcterms:created xsi:type="dcterms:W3CDTF">2026-07-31T20:37:00Z</dcterms:created>
  <dcterms:modified xsi:type="dcterms:W3CDTF">2026-08-20T15:28:00Z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0x0101001AB74CFEA7A3314AB3D132B5C48E7F4D</vt:lpwstr>
  </property>
</Properties>
</file>